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A9" w:rsidRDefault="002C3439">
      <w:r>
        <w:t xml:space="preserve">Mid-Iowa Community Action, Inc. </w:t>
      </w:r>
      <w:r>
        <w:tab/>
        <w:t>Job Description</w:t>
      </w:r>
    </w:p>
    <w:p w:rsidR="002C3439" w:rsidRPr="002C3439" w:rsidRDefault="002C3439">
      <w:pPr>
        <w:rPr>
          <w:b/>
        </w:rPr>
      </w:pPr>
      <w:r w:rsidRPr="002C3439">
        <w:rPr>
          <w:b/>
        </w:rPr>
        <w:t>Titl</w:t>
      </w:r>
      <w:r w:rsidR="000F67C5">
        <w:rPr>
          <w:b/>
        </w:rPr>
        <w:t>e: International Board Certified Lactation Consultant (IBCLC)</w:t>
      </w:r>
    </w:p>
    <w:p w:rsidR="002C3439" w:rsidRPr="002C3439" w:rsidRDefault="002C3439">
      <w:pPr>
        <w:rPr>
          <w:b/>
        </w:rPr>
      </w:pPr>
      <w:r w:rsidRPr="002C3439">
        <w:rPr>
          <w:b/>
        </w:rPr>
        <w:t>Reports to: WIC Coordinator</w:t>
      </w:r>
    </w:p>
    <w:p w:rsidR="002C3439" w:rsidRDefault="002C3439">
      <w:pPr>
        <w:rPr>
          <w:b/>
        </w:rPr>
      </w:pPr>
      <w:r w:rsidRPr="002C3439">
        <w:rPr>
          <w:b/>
        </w:rPr>
        <w:t>Job Summary:</w:t>
      </w:r>
    </w:p>
    <w:p w:rsidR="00AC2391" w:rsidRDefault="000F67C5" w:rsidP="00AC2391">
      <w:pPr>
        <w:rPr>
          <w:rFonts w:cs="Arial"/>
        </w:rPr>
      </w:pPr>
      <w:r>
        <w:t xml:space="preserve">A </w:t>
      </w:r>
      <w:r w:rsidR="00477535">
        <w:t>Lactation Consultant holds the International Board Certified Lactation Consultant (IBCLC) credential issued by the International Board of Lactation Consul</w:t>
      </w:r>
      <w:r>
        <w:t xml:space="preserve">tant Examiners.  </w:t>
      </w:r>
      <w:r w:rsidR="00207D7A">
        <w:t xml:space="preserve">The IBCLC would be part of the Health Services team and work with families that participate in the WIC and Maternal Health Programs.  </w:t>
      </w:r>
      <w:r>
        <w:t xml:space="preserve">The IBCLC would provide excellent breastfeeding education to pregnant and breastfeeding mothers, troubleshoot breastfeeding problems, </w:t>
      </w:r>
      <w:r w:rsidR="000F0435">
        <w:t>make referrals when needed</w:t>
      </w:r>
      <w:r>
        <w:t xml:space="preserve"> and be the designated breastfeedi</w:t>
      </w:r>
      <w:r w:rsidR="000F0435">
        <w:t xml:space="preserve">ng expert within the WIC team.  The IBCLC would provide breastfeeding education to WIC staff and Breastfeeding Peer Counselors. </w:t>
      </w:r>
      <w:r w:rsidR="00AC2391">
        <w:t xml:space="preserve"> </w:t>
      </w:r>
      <w:r w:rsidR="00AC2391" w:rsidRPr="00F53DAB">
        <w:rPr>
          <w:rFonts w:cs="Arial"/>
        </w:rPr>
        <w:t>This position may perform regular duties at alternatives sites with permission</w:t>
      </w:r>
      <w:r w:rsidR="00AC2391" w:rsidRPr="004D7078">
        <w:rPr>
          <w:rFonts w:cs="Arial"/>
        </w:rPr>
        <w:t xml:space="preserve"> of the Program Director. </w:t>
      </w:r>
    </w:p>
    <w:p w:rsidR="00AC2391" w:rsidRDefault="00AC2391">
      <w:pPr>
        <w:rPr>
          <w:b/>
        </w:rPr>
      </w:pPr>
    </w:p>
    <w:p w:rsidR="002C3439" w:rsidRDefault="002C3439">
      <w:pPr>
        <w:rPr>
          <w:b/>
        </w:rPr>
      </w:pPr>
      <w:r w:rsidRPr="002C3439">
        <w:rPr>
          <w:b/>
        </w:rPr>
        <w:t xml:space="preserve">Summary of Essential Job Functions: </w:t>
      </w:r>
    </w:p>
    <w:p w:rsidR="002C3439" w:rsidRDefault="002C3439">
      <w:pPr>
        <w:rPr>
          <w:b/>
        </w:rPr>
      </w:pPr>
      <w:r w:rsidRPr="00AE1BDC">
        <w:rPr>
          <w:b/>
        </w:rPr>
        <w:t>Compliance</w:t>
      </w:r>
    </w:p>
    <w:p w:rsidR="00477535" w:rsidRDefault="00477535">
      <w:r>
        <w:t>Provides follow-up breastfeeding support t</w:t>
      </w:r>
      <w:r w:rsidR="00972FBA">
        <w:t xml:space="preserve">o WIC participants through </w:t>
      </w:r>
      <w:r>
        <w:t xml:space="preserve">referrals from </w:t>
      </w:r>
      <w:r w:rsidR="00972FBA">
        <w:t>B</w:t>
      </w:r>
      <w:r w:rsidR="0025293E">
        <w:t xml:space="preserve">reastfeeding </w:t>
      </w:r>
      <w:r w:rsidR="00972FBA">
        <w:t>Peer C</w:t>
      </w:r>
      <w:r>
        <w:t xml:space="preserve">ounselors and WIC staff of mothers experiencing complex maternal and infant breastfeeding problems beyond their scope of practice.  </w:t>
      </w:r>
    </w:p>
    <w:p w:rsidR="00477535" w:rsidRDefault="00477535">
      <w:r>
        <w:t>Assesses breastfeeding situations and provides counseling to high-risk mother</w:t>
      </w:r>
      <w:r w:rsidR="00B104FC">
        <w:t>s</w:t>
      </w:r>
      <w:r>
        <w:t xml:space="preserve"> and infants.  </w:t>
      </w:r>
    </w:p>
    <w:p w:rsidR="00477535" w:rsidRDefault="00477535">
      <w:r>
        <w:t xml:space="preserve">Counsels high-risk mothers needing breast pumps or other equipment for complex breastfeeding situations.  </w:t>
      </w:r>
    </w:p>
    <w:p w:rsidR="00477535" w:rsidRDefault="00477535">
      <w:r>
        <w:t>Provides timely follow-up servi</w:t>
      </w:r>
      <w:r w:rsidR="00EE7C16">
        <w:t>ces by telephone, WIC clinic visits and/or meetings at a neutral location</w:t>
      </w:r>
      <w:r w:rsidR="00972FBA">
        <w:t xml:space="preserve"> with pregnant and breastfeeding mothers</w:t>
      </w:r>
      <w:r w:rsidR="00EE7C16">
        <w:t xml:space="preserve">.  </w:t>
      </w:r>
    </w:p>
    <w:p w:rsidR="00B104FC" w:rsidRDefault="00B104FC">
      <w:r>
        <w:t xml:space="preserve">Is available outside the usual clinic hours to mothers experiencing breastfeeding problems.  </w:t>
      </w:r>
    </w:p>
    <w:p w:rsidR="00B104FC" w:rsidRDefault="00B104FC">
      <w:r>
        <w:t xml:space="preserve">Follows the IBCLC Scope of Practice as issued by the International Board of Lactation Consultant Examiners.  </w:t>
      </w:r>
    </w:p>
    <w:p w:rsidR="00B104FC" w:rsidRDefault="000F0435">
      <w:r>
        <w:t>R</w:t>
      </w:r>
      <w:r w:rsidR="00B104FC">
        <w:t xml:space="preserve">efers mothers </w:t>
      </w:r>
      <w:r w:rsidR="00972FBA">
        <w:t>to the appropriate provider if</w:t>
      </w:r>
      <w:r w:rsidR="00B104FC">
        <w:t xml:space="preserve"> medical concerns</w:t>
      </w:r>
      <w:r w:rsidR="00972FBA">
        <w:t xml:space="preserve"> are</w:t>
      </w:r>
      <w:r w:rsidR="00B104FC">
        <w:t xml:space="preserve"> beyond the IBCLC Scope of Practice.  </w:t>
      </w:r>
    </w:p>
    <w:p w:rsidR="00B104FC" w:rsidRDefault="00B104FC">
      <w:r>
        <w:t>Respects each client by keeping her information strictly confidential.</w:t>
      </w:r>
    </w:p>
    <w:p w:rsidR="00B104FC" w:rsidRDefault="00B104FC">
      <w:r>
        <w:t>Must have internet access at home and keep accurate records of all contacts made with WIC clients in the WIC electronic data system.</w:t>
      </w:r>
    </w:p>
    <w:p w:rsidR="00AE1BDC" w:rsidRDefault="00AE1BDC">
      <w:r>
        <w:t xml:space="preserve">Attends required staff meetings and </w:t>
      </w:r>
      <w:r w:rsidR="000F0435">
        <w:t xml:space="preserve">required </w:t>
      </w:r>
      <w:r>
        <w:t>trainings.</w:t>
      </w:r>
    </w:p>
    <w:p w:rsidR="00AE1BDC" w:rsidRDefault="00AE1BDC">
      <w:r>
        <w:t>Provides training and education in lactation management to WIC staff</w:t>
      </w:r>
      <w:r w:rsidR="000F0435">
        <w:t xml:space="preserve"> and Breastfeeding Peer Counselors</w:t>
      </w:r>
      <w:r>
        <w:t xml:space="preserve">.  </w:t>
      </w:r>
    </w:p>
    <w:p w:rsidR="00AE1BDC" w:rsidRDefault="00AE1BDC">
      <w:r>
        <w:t xml:space="preserve">Mentors new peer counselors through shadowing opportunities.  </w:t>
      </w:r>
    </w:p>
    <w:p w:rsidR="00972FBA" w:rsidRDefault="00972FBA"/>
    <w:p w:rsidR="002C3439" w:rsidRDefault="002C3439">
      <w:pPr>
        <w:rPr>
          <w:b/>
        </w:rPr>
      </w:pPr>
      <w:r w:rsidRPr="002C3439">
        <w:rPr>
          <w:b/>
        </w:rPr>
        <w:t xml:space="preserve">Knowledge, Skills and Attitudes: </w:t>
      </w:r>
    </w:p>
    <w:p w:rsidR="00AE1BDC" w:rsidRDefault="00AE1BDC">
      <w:r>
        <w:t>Able to read, write and speak the English language.</w:t>
      </w:r>
    </w:p>
    <w:p w:rsidR="00AE1BDC" w:rsidRDefault="00AE1BDC">
      <w:r>
        <w:t xml:space="preserve">Committed to the concept of diversity and the inherent worth of every individual. </w:t>
      </w:r>
    </w:p>
    <w:p w:rsidR="00AE1BDC" w:rsidRDefault="00AE1BDC">
      <w:r>
        <w:t>Excellent communication and customer service skills.</w:t>
      </w:r>
    </w:p>
    <w:p w:rsidR="00AE1BDC" w:rsidRDefault="00AE1BDC">
      <w:r>
        <w:t>Knowledge of H</w:t>
      </w:r>
      <w:r w:rsidR="009A0059">
        <w:t xml:space="preserve">IPAA </w:t>
      </w:r>
      <w:r>
        <w:t>regulations and practices</w:t>
      </w:r>
    </w:p>
    <w:p w:rsidR="00AE1BDC" w:rsidRDefault="00AE1BDC">
      <w:r>
        <w:t xml:space="preserve">Strong team work skills.  Able to collaborate in a positive and respectful way with families, agency co-workers, and community partners. </w:t>
      </w:r>
    </w:p>
    <w:p w:rsidR="00AE1BDC" w:rsidRDefault="00AE1BDC">
      <w:r>
        <w:t>High level of confidentiality and ethical conduct.</w:t>
      </w:r>
    </w:p>
    <w:p w:rsidR="00AE1BDC" w:rsidRDefault="00AE1BDC">
      <w:r>
        <w:t>Basic computer skills.</w:t>
      </w:r>
    </w:p>
    <w:p w:rsidR="002C3439" w:rsidRPr="00155BC5" w:rsidRDefault="00AE1BDC">
      <w:r>
        <w:t xml:space="preserve">Maintains IBCLC credential and breastfeeding knowledge and skills through continuing education and IBCLC recertification.  </w:t>
      </w:r>
    </w:p>
    <w:p w:rsidR="009A0059" w:rsidRDefault="009A0059">
      <w:pPr>
        <w:rPr>
          <w:b/>
        </w:rPr>
      </w:pPr>
    </w:p>
    <w:p w:rsidR="00AC77BF" w:rsidRDefault="00AC77BF">
      <w:pPr>
        <w:rPr>
          <w:b/>
        </w:rPr>
      </w:pPr>
      <w:r>
        <w:rPr>
          <w:b/>
        </w:rPr>
        <w:t>Working Conditions (Essential Physical, mental and emotional demands):</w:t>
      </w:r>
    </w:p>
    <w:p w:rsidR="00155BC5" w:rsidRDefault="00155BC5" w:rsidP="00155BC5">
      <w:pPr>
        <w:rPr>
          <w:rFonts w:cs="Arial"/>
          <w:i/>
        </w:rPr>
      </w:pPr>
      <w:r>
        <w:rPr>
          <w:rFonts w:cs="Arial"/>
          <w:i/>
        </w:rPr>
        <w:t>The demands described here are representative of those that must be met by an employee to successfully perform the essential functions of this job.  Reasonable accommodations</w:t>
      </w:r>
      <w:r w:rsidRPr="00155BC5">
        <w:rPr>
          <w:rFonts w:cs="Arial"/>
          <w:i/>
        </w:rPr>
        <w:t xml:space="preserve"> </w:t>
      </w:r>
      <w:r>
        <w:rPr>
          <w:rFonts w:cs="Arial"/>
          <w:i/>
        </w:rPr>
        <w:t>may be made to enable individuals with disabilities to perform the essential functions.</w:t>
      </w:r>
    </w:p>
    <w:p w:rsidR="0025293E" w:rsidRPr="008E1C1F" w:rsidRDefault="0025293E" w:rsidP="008E1C1F">
      <w:pPr>
        <w:pStyle w:val="ListParagraph"/>
        <w:numPr>
          <w:ilvl w:val="0"/>
          <w:numId w:val="1"/>
        </w:numPr>
        <w:rPr>
          <w:rFonts w:cs="Arial"/>
        </w:rPr>
      </w:pPr>
      <w:r w:rsidRPr="008E1C1F">
        <w:rPr>
          <w:rFonts w:cs="Arial"/>
        </w:rPr>
        <w:t xml:space="preserve">The position requires flexibility and the ability to work outside usual clinic hours.  </w:t>
      </w:r>
    </w:p>
    <w:p w:rsidR="0025293E" w:rsidRPr="008E1C1F" w:rsidRDefault="0025293E" w:rsidP="008E1C1F">
      <w:pPr>
        <w:pStyle w:val="ListParagraph"/>
        <w:numPr>
          <w:ilvl w:val="0"/>
          <w:numId w:val="1"/>
        </w:numPr>
        <w:rPr>
          <w:rFonts w:cs="Arial"/>
        </w:rPr>
      </w:pPr>
      <w:r w:rsidRPr="008E1C1F">
        <w:rPr>
          <w:rFonts w:cs="Arial"/>
        </w:rPr>
        <w:t>The</w:t>
      </w:r>
      <w:r w:rsidR="001E57EA" w:rsidRPr="008E1C1F">
        <w:rPr>
          <w:rFonts w:cs="Arial"/>
        </w:rPr>
        <w:t xml:space="preserve"> position gives the employee </w:t>
      </w:r>
      <w:r w:rsidRPr="008E1C1F">
        <w:rPr>
          <w:rFonts w:cs="Arial"/>
        </w:rPr>
        <w:t>the ability to work from home.</w:t>
      </w:r>
    </w:p>
    <w:p w:rsidR="001E57EA" w:rsidRPr="008E1C1F" w:rsidRDefault="008E1C1F" w:rsidP="008E1C1F">
      <w:pPr>
        <w:pStyle w:val="ListParagraph"/>
        <w:numPr>
          <w:ilvl w:val="0"/>
          <w:numId w:val="1"/>
        </w:numPr>
        <w:rPr>
          <w:rFonts w:cs="Arial"/>
        </w:rPr>
      </w:pPr>
      <w:r w:rsidRPr="008E1C1F">
        <w:rPr>
          <w:rFonts w:cs="Arial"/>
        </w:rPr>
        <w:t>This position requires communication with participants when they need support including evenings and during the night.</w:t>
      </w:r>
    </w:p>
    <w:p w:rsidR="008E1C1F" w:rsidRPr="008E1C1F" w:rsidRDefault="008E1C1F" w:rsidP="008E1C1F">
      <w:pPr>
        <w:pStyle w:val="ListParagraph"/>
        <w:numPr>
          <w:ilvl w:val="0"/>
          <w:numId w:val="1"/>
        </w:numPr>
        <w:rPr>
          <w:rFonts w:cs="Arial"/>
        </w:rPr>
      </w:pPr>
      <w:r w:rsidRPr="008E1C1F">
        <w:rPr>
          <w:rFonts w:cs="Arial"/>
        </w:rPr>
        <w:t xml:space="preserve">Constant interaction with program participants and colleagues.  Requires constant strong ability to think and reason independently, maintain objectivity, remain calm and pleasant, and to exercise sound judgement.  </w:t>
      </w:r>
    </w:p>
    <w:p w:rsidR="008E1C1F" w:rsidRPr="008E1C1F" w:rsidRDefault="008E1C1F" w:rsidP="008E1C1F">
      <w:pPr>
        <w:pStyle w:val="ListParagraph"/>
        <w:numPr>
          <w:ilvl w:val="0"/>
          <w:numId w:val="1"/>
        </w:numPr>
        <w:rPr>
          <w:rFonts w:cs="Arial"/>
        </w:rPr>
      </w:pPr>
      <w:r w:rsidRPr="008E1C1F">
        <w:rPr>
          <w:rFonts w:cs="Arial"/>
        </w:rPr>
        <w:t>Occasionally lifts and carries objects up to 40 pounds may be required when setting up for health fairs.</w:t>
      </w:r>
    </w:p>
    <w:p w:rsidR="008E1C1F" w:rsidRDefault="00207D7A" w:rsidP="008E1C1F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</w:t>
      </w:r>
      <w:r w:rsidR="008E1C1F" w:rsidRPr="008E1C1F">
        <w:rPr>
          <w:rFonts w:cs="Arial"/>
        </w:rPr>
        <w:t>equired to travel to additional MICA county WIC clinics</w:t>
      </w:r>
      <w:r>
        <w:rPr>
          <w:rFonts w:cs="Arial"/>
        </w:rPr>
        <w:t>/neutral locations within the service area</w:t>
      </w:r>
      <w:r w:rsidR="008E1C1F" w:rsidRPr="008E1C1F">
        <w:rPr>
          <w:rFonts w:cs="Arial"/>
        </w:rPr>
        <w:t xml:space="preserve"> as needed.  </w:t>
      </w:r>
    </w:p>
    <w:p w:rsidR="008E1C1F" w:rsidRDefault="008E1C1F" w:rsidP="008E1C1F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Must have a valid driver’s license and proof of automobile insurance.  License must be in good standing, as this position must be able to drive agency-owned vehicle. </w:t>
      </w:r>
    </w:p>
    <w:p w:rsidR="00972FBA" w:rsidRPr="009A0059" w:rsidRDefault="008E1C1F" w:rsidP="009A0059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Must have a reliable vehicle, as may need to travel </w:t>
      </w:r>
      <w:r w:rsidR="009A0059">
        <w:rPr>
          <w:rFonts w:cs="Arial"/>
        </w:rPr>
        <w:t xml:space="preserve">on own to worksites as needed. </w:t>
      </w:r>
    </w:p>
    <w:p w:rsidR="00972FBA" w:rsidRDefault="00972FBA">
      <w:pPr>
        <w:rPr>
          <w:b/>
        </w:rPr>
      </w:pPr>
    </w:p>
    <w:p w:rsidR="00AC77BF" w:rsidRDefault="00096110">
      <w:pPr>
        <w:rPr>
          <w:b/>
        </w:rPr>
      </w:pPr>
      <w:r>
        <w:rPr>
          <w:b/>
        </w:rPr>
        <w:t xml:space="preserve">Education &amp; Experience: </w:t>
      </w:r>
    </w:p>
    <w:p w:rsidR="00096110" w:rsidRDefault="00096110">
      <w:pPr>
        <w:rPr>
          <w:b/>
        </w:rPr>
      </w:pPr>
      <w:r>
        <w:rPr>
          <w:b/>
        </w:rPr>
        <w:t>Required:</w:t>
      </w:r>
    </w:p>
    <w:p w:rsidR="008E1C1F" w:rsidRDefault="008E1C1F" w:rsidP="008E1C1F">
      <w:pPr>
        <w:pStyle w:val="ListParagraph"/>
        <w:numPr>
          <w:ilvl w:val="0"/>
          <w:numId w:val="2"/>
        </w:numPr>
      </w:pPr>
      <w:r>
        <w:t>High school diploma or GED/HiSET</w:t>
      </w:r>
    </w:p>
    <w:p w:rsidR="008E1C1F" w:rsidRDefault="008E1C1F" w:rsidP="008E1C1F">
      <w:pPr>
        <w:pStyle w:val="ListParagraph"/>
        <w:numPr>
          <w:ilvl w:val="0"/>
          <w:numId w:val="2"/>
        </w:numPr>
      </w:pPr>
      <w:r>
        <w:t>Is enthusiastic about breastfeeding and want</w:t>
      </w:r>
      <w:r w:rsidR="00972FBA">
        <w:t xml:space="preserve">s to help other mothers have </w:t>
      </w:r>
      <w:r>
        <w:t>positive</w:t>
      </w:r>
      <w:r w:rsidR="00972FBA">
        <w:t xml:space="preserve"> breastfeeding</w:t>
      </w:r>
      <w:r>
        <w:t xml:space="preserve"> experience</w:t>
      </w:r>
    </w:p>
    <w:p w:rsidR="00096110" w:rsidRDefault="008E1C1F" w:rsidP="008E1C1F">
      <w:pPr>
        <w:pStyle w:val="ListParagraph"/>
        <w:numPr>
          <w:ilvl w:val="0"/>
          <w:numId w:val="2"/>
        </w:numPr>
      </w:pPr>
      <w:r>
        <w:t>Holds current certification with the IBCLC credential issued by the International Board of Lactation Consultant Examiners</w:t>
      </w:r>
    </w:p>
    <w:p w:rsidR="002F24E3" w:rsidRPr="008E1C1F" w:rsidRDefault="002F24E3" w:rsidP="008E1C1F">
      <w:pPr>
        <w:pStyle w:val="ListParagraph"/>
        <w:numPr>
          <w:ilvl w:val="0"/>
          <w:numId w:val="2"/>
        </w:numPr>
      </w:pPr>
      <w:r>
        <w:t xml:space="preserve">Adheres to the Code of Professional Conduct for IBCLC’s </w:t>
      </w:r>
    </w:p>
    <w:p w:rsidR="00096110" w:rsidRPr="003736C6" w:rsidRDefault="00096110">
      <w:r>
        <w:rPr>
          <w:b/>
        </w:rPr>
        <w:t xml:space="preserve">Preferred: </w:t>
      </w:r>
      <w:r w:rsidR="003736C6">
        <w:t>bilingual in English and Spanish</w:t>
      </w:r>
    </w:p>
    <w:p w:rsidR="00096110" w:rsidRDefault="00096110">
      <w:pPr>
        <w:rPr>
          <w:b/>
        </w:rPr>
      </w:pPr>
      <w:r>
        <w:rPr>
          <w:b/>
        </w:rPr>
        <w:t>Other:</w:t>
      </w:r>
    </w:p>
    <w:p w:rsidR="00096110" w:rsidRDefault="00096110">
      <w:pPr>
        <w:rPr>
          <w:b/>
        </w:rPr>
      </w:pPr>
      <w:r>
        <w:rPr>
          <w:b/>
        </w:rPr>
        <w:t>Candidates offered the position must meet the following criteria:</w:t>
      </w:r>
    </w:p>
    <w:p w:rsidR="003736C6" w:rsidRPr="003736C6" w:rsidRDefault="003736C6" w:rsidP="003736C6">
      <w:pPr>
        <w:pStyle w:val="ListParagraph"/>
        <w:numPr>
          <w:ilvl w:val="0"/>
          <w:numId w:val="3"/>
        </w:numPr>
      </w:pPr>
      <w:r w:rsidRPr="003736C6">
        <w:t>Successful completion of all background checks at hire and thereafter according to agency and program standards.</w:t>
      </w:r>
    </w:p>
    <w:p w:rsidR="003736C6" w:rsidRPr="003736C6" w:rsidRDefault="003736C6" w:rsidP="003736C6">
      <w:pPr>
        <w:pStyle w:val="ListParagraph"/>
        <w:numPr>
          <w:ilvl w:val="0"/>
          <w:numId w:val="3"/>
        </w:numPr>
      </w:pPr>
      <w:r w:rsidRPr="003736C6">
        <w:t>Must be approved by State WIC Program office</w:t>
      </w:r>
    </w:p>
    <w:p w:rsidR="003736C6" w:rsidRPr="003736C6" w:rsidRDefault="003736C6" w:rsidP="003736C6">
      <w:pPr>
        <w:pStyle w:val="ListParagraph"/>
        <w:numPr>
          <w:ilvl w:val="0"/>
          <w:numId w:val="3"/>
        </w:numPr>
      </w:pPr>
      <w:r w:rsidRPr="003736C6">
        <w:t xml:space="preserve">Staff who work in centers that serve infants will be required to have a Tdap immunization per Centers for Disease Control and Prevention (CDC) recommendations.  </w:t>
      </w:r>
    </w:p>
    <w:p w:rsidR="003736C6" w:rsidRPr="003736C6" w:rsidRDefault="003736C6" w:rsidP="003736C6">
      <w:pPr>
        <w:pStyle w:val="ListParagraph"/>
        <w:numPr>
          <w:ilvl w:val="0"/>
          <w:numId w:val="3"/>
        </w:numPr>
      </w:pPr>
      <w:r w:rsidRPr="003736C6">
        <w:t xml:space="preserve">Must have a pre-employment TB assessment and every year thereafter.  </w:t>
      </w:r>
    </w:p>
    <w:p w:rsidR="00096110" w:rsidRDefault="00096110">
      <w:pPr>
        <w:rPr>
          <w:b/>
        </w:rPr>
      </w:pPr>
    </w:p>
    <w:p w:rsidR="00096110" w:rsidRDefault="00096110">
      <w:pPr>
        <w:rPr>
          <w:b/>
        </w:rPr>
      </w:pPr>
      <w:r>
        <w:rPr>
          <w:b/>
        </w:rPr>
        <w:t>Other Duties</w:t>
      </w:r>
    </w:p>
    <w:p w:rsidR="00096110" w:rsidRPr="003736C6" w:rsidRDefault="003736C6">
      <w:r w:rsidRPr="003736C6">
        <w:t xml:space="preserve">Please note this job description is not designed to cover or contain a comprehensive listing of activities, duties or responsibilities that are required of the employee for this job.  Duties, responsibilities and activities may change at any time with or without notice.  </w:t>
      </w:r>
    </w:p>
    <w:p w:rsidR="00096110" w:rsidRDefault="00096110">
      <w:pPr>
        <w:rPr>
          <w:b/>
        </w:rPr>
      </w:pPr>
      <w:r>
        <w:rPr>
          <w:b/>
        </w:rPr>
        <w:t>Additional Information</w:t>
      </w:r>
    </w:p>
    <w:p w:rsidR="00EA5467" w:rsidRDefault="00EA5467" w:rsidP="00EA5467">
      <w:pPr>
        <w:pStyle w:val="Heading3rdlevel"/>
      </w:pPr>
      <w:r>
        <w:t>Additional information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64"/>
        <w:gridCol w:w="2227"/>
        <w:gridCol w:w="2233"/>
        <w:gridCol w:w="2226"/>
      </w:tblGrid>
      <w:tr w:rsidR="00EA5467" w:rsidRPr="00A956D6" w:rsidTr="0016098B">
        <w:tc>
          <w:tcPr>
            <w:tcW w:w="2718" w:type="dxa"/>
            <w:tcBorders>
              <w:bottom w:val="single" w:sz="4" w:space="0" w:color="auto"/>
            </w:tcBorders>
          </w:tcPr>
          <w:p w:rsidR="00EA5467" w:rsidRDefault="00EA5467" w:rsidP="0016098B">
            <w:pPr>
              <w:pStyle w:val="Tabletext"/>
            </w:pPr>
            <w:r>
              <w:t>Program</w:t>
            </w:r>
          </w:p>
        </w:tc>
        <w:tc>
          <w:tcPr>
            <w:tcW w:w="2257" w:type="dxa"/>
            <w:tcBorders>
              <w:bottom w:val="single" w:sz="4" w:space="0" w:color="auto"/>
              <w:right w:val="single" w:sz="18" w:space="0" w:color="auto"/>
            </w:tcBorders>
          </w:tcPr>
          <w:p w:rsidR="00EA5467" w:rsidRPr="00A956D6" w:rsidRDefault="00EA5467" w:rsidP="00160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  <w:tc>
          <w:tcPr>
            <w:tcW w:w="22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5467" w:rsidRPr="00A956D6" w:rsidRDefault="00EA5467" w:rsidP="0016098B">
            <w:pPr>
              <w:pStyle w:val="Tabletext"/>
              <w:rPr>
                <w:rFonts w:cs="Arial"/>
              </w:rPr>
            </w:pPr>
            <w:r w:rsidRPr="00A956D6">
              <w:rPr>
                <w:rFonts w:cs="Arial"/>
              </w:rPr>
              <w:t>Management? (Yes/No)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5467" w:rsidRPr="00A956D6" w:rsidRDefault="00EA5467" w:rsidP="00160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A5467" w:rsidRPr="00A956D6" w:rsidTr="0016098B">
        <w:tc>
          <w:tcPr>
            <w:tcW w:w="2718" w:type="dxa"/>
            <w:shd w:val="clear" w:color="auto" w:fill="E6E6E6"/>
          </w:tcPr>
          <w:p w:rsidR="00EA5467" w:rsidRDefault="00EA5467" w:rsidP="0016098B">
            <w:pPr>
              <w:pStyle w:val="Tabletext"/>
            </w:pPr>
            <w:r>
              <w:t>Generic title</w:t>
            </w:r>
          </w:p>
        </w:tc>
        <w:tc>
          <w:tcPr>
            <w:tcW w:w="2257" w:type="dxa"/>
            <w:tcBorders>
              <w:right w:val="single" w:sz="18" w:space="0" w:color="auto"/>
            </w:tcBorders>
            <w:shd w:val="clear" w:color="auto" w:fill="E6E6E6"/>
          </w:tcPr>
          <w:p w:rsidR="00EA5467" w:rsidRPr="00A956D6" w:rsidRDefault="00EA5467" w:rsidP="00160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Lactation Consultant</w:t>
            </w:r>
          </w:p>
        </w:tc>
        <w:tc>
          <w:tcPr>
            <w:tcW w:w="2257" w:type="dxa"/>
            <w:tcBorders>
              <w:left w:val="single" w:sz="18" w:space="0" w:color="auto"/>
            </w:tcBorders>
            <w:shd w:val="clear" w:color="auto" w:fill="auto"/>
          </w:tcPr>
          <w:p w:rsidR="00EA5467" w:rsidRPr="00A956D6" w:rsidRDefault="00EA5467" w:rsidP="0016098B">
            <w:pPr>
              <w:pStyle w:val="Tabletext"/>
              <w:rPr>
                <w:rFonts w:cs="Arial"/>
              </w:rPr>
            </w:pPr>
            <w:r w:rsidRPr="00A956D6">
              <w:rPr>
                <w:rFonts w:cs="Arial"/>
              </w:rPr>
              <w:t>FLSA status</w:t>
            </w:r>
          </w:p>
        </w:tc>
        <w:tc>
          <w:tcPr>
            <w:tcW w:w="2257" w:type="dxa"/>
            <w:shd w:val="clear" w:color="auto" w:fill="auto"/>
          </w:tcPr>
          <w:p w:rsidR="00EA5467" w:rsidRDefault="00B47D75" w:rsidP="00160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</w:t>
            </w:r>
            <w:r w:rsidRPr="00A956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EA5467" w:rsidRPr="00A956D6">
              <w:rPr>
                <w:rFonts w:ascii="Arial" w:hAnsi="Arial" w:cs="Arial"/>
              </w:rPr>
              <w:t>Hourly/Non-exempt</w:t>
            </w:r>
          </w:p>
          <w:p w:rsidR="00B47D75" w:rsidRPr="00A956D6" w:rsidRDefault="00B47D75" w:rsidP="0016098B">
            <w:pPr>
              <w:rPr>
                <w:rFonts w:ascii="Arial" w:hAnsi="Arial" w:cs="Arial"/>
              </w:rPr>
            </w:pPr>
          </w:p>
        </w:tc>
      </w:tr>
      <w:tr w:rsidR="00EA5467" w:rsidRPr="00A956D6" w:rsidTr="0016098B">
        <w:tc>
          <w:tcPr>
            <w:tcW w:w="2718" w:type="dxa"/>
          </w:tcPr>
          <w:p w:rsidR="00EA5467" w:rsidRDefault="00EA5467" w:rsidP="0016098B">
            <w:pPr>
              <w:pStyle w:val="Tabletext"/>
            </w:pPr>
            <w:r>
              <w:t>Pay grade</w:t>
            </w:r>
          </w:p>
        </w:tc>
        <w:tc>
          <w:tcPr>
            <w:tcW w:w="2257" w:type="dxa"/>
            <w:tcBorders>
              <w:right w:val="single" w:sz="18" w:space="0" w:color="auto"/>
            </w:tcBorders>
          </w:tcPr>
          <w:p w:rsidR="00EA5467" w:rsidRPr="00A956D6" w:rsidRDefault="00EA5467" w:rsidP="0016098B">
            <w:pPr>
              <w:rPr>
                <w:rFonts w:ascii="Arial" w:hAnsi="Arial" w:cs="Arial"/>
              </w:rPr>
            </w:pPr>
            <w:r w:rsidRPr="00EA5467">
              <w:rPr>
                <w:rFonts w:ascii="Arial" w:hAnsi="Arial" w:cs="Arial"/>
              </w:rPr>
              <w:t xml:space="preserve">BAND </w:t>
            </w:r>
            <w:r>
              <w:rPr>
                <w:rFonts w:ascii="Arial" w:hAnsi="Arial" w:cs="Arial"/>
              </w:rPr>
              <w:t>4C</w:t>
            </w:r>
          </w:p>
        </w:tc>
        <w:tc>
          <w:tcPr>
            <w:tcW w:w="225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A5467" w:rsidRPr="00A956D6" w:rsidRDefault="00EA5467" w:rsidP="00160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Created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EA5467" w:rsidRPr="00A956D6" w:rsidRDefault="00EA5467" w:rsidP="00160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2020</w:t>
            </w:r>
          </w:p>
        </w:tc>
      </w:tr>
      <w:tr w:rsidR="00EA5467" w:rsidRPr="00A956D6" w:rsidTr="0016098B">
        <w:tc>
          <w:tcPr>
            <w:tcW w:w="2718" w:type="dxa"/>
            <w:tcBorders>
              <w:bottom w:val="single" w:sz="4" w:space="0" w:color="auto"/>
            </w:tcBorders>
          </w:tcPr>
          <w:p w:rsidR="00EA5467" w:rsidRDefault="00EA5467" w:rsidP="0016098B">
            <w:pPr>
              <w:pStyle w:val="Tabletext"/>
            </w:pPr>
            <w:r>
              <w:t>EEO 1 Category 3</w:t>
            </w:r>
          </w:p>
        </w:tc>
        <w:tc>
          <w:tcPr>
            <w:tcW w:w="2257" w:type="dxa"/>
            <w:tcBorders>
              <w:bottom w:val="single" w:sz="4" w:space="0" w:color="auto"/>
              <w:right w:val="single" w:sz="18" w:space="0" w:color="auto"/>
            </w:tcBorders>
          </w:tcPr>
          <w:p w:rsidR="00EA5467" w:rsidRDefault="00EA5467" w:rsidP="00160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</w:t>
            </w:r>
          </w:p>
        </w:tc>
        <w:tc>
          <w:tcPr>
            <w:tcW w:w="22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5467" w:rsidRDefault="00EA5467" w:rsidP="0016098B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5467" w:rsidRDefault="00EA5467" w:rsidP="0016098B">
            <w:pPr>
              <w:rPr>
                <w:rFonts w:ascii="Arial" w:hAnsi="Arial" w:cs="Arial"/>
              </w:rPr>
            </w:pPr>
          </w:p>
        </w:tc>
      </w:tr>
    </w:tbl>
    <w:p w:rsidR="00EA5467" w:rsidRDefault="00EA5467" w:rsidP="00EA5467">
      <w:pPr>
        <w:pStyle w:val="ListParagraph"/>
        <w:ind w:left="0"/>
        <w:rPr>
          <w:b/>
        </w:rPr>
      </w:pPr>
    </w:p>
    <w:p w:rsidR="00EA5467" w:rsidRDefault="00EA5467" w:rsidP="00EA5467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EQUAL OPPORTUNITY EMPLOYER</w:t>
      </w:r>
    </w:p>
    <w:p w:rsidR="00EA5467" w:rsidRDefault="00EA5467" w:rsidP="00EA5467">
      <w:pPr>
        <w:pStyle w:val="ListParagraph"/>
        <w:ind w:left="-90"/>
        <w:rPr>
          <w:sz w:val="20"/>
          <w:szCs w:val="20"/>
        </w:rPr>
      </w:pPr>
    </w:p>
    <w:p w:rsidR="00EA5467" w:rsidRDefault="00EA5467" w:rsidP="00EA5467">
      <w:pPr>
        <w:pStyle w:val="ListParagraph"/>
        <w:ind w:left="-90"/>
        <w:rPr>
          <w:sz w:val="20"/>
          <w:szCs w:val="20"/>
        </w:rPr>
      </w:pPr>
    </w:p>
    <w:p w:rsidR="00EA5467" w:rsidRDefault="00EA5467" w:rsidP="00EA5467">
      <w:pPr>
        <w:pStyle w:val="ListParagraph"/>
        <w:ind w:left="-90"/>
        <w:rPr>
          <w:sz w:val="20"/>
          <w:szCs w:val="20"/>
        </w:rPr>
      </w:pPr>
    </w:p>
    <w:p w:rsidR="00EA5467" w:rsidRDefault="00EA5467" w:rsidP="00EA5467">
      <w:pPr>
        <w:pStyle w:val="ListParagraph"/>
        <w:ind w:left="-90"/>
      </w:pPr>
      <w:r>
        <w:rPr>
          <w:sz w:val="20"/>
          <w:szCs w:val="20"/>
        </w:rPr>
        <w:t>Signature of Employee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EA5467" w:rsidRDefault="00EA5467">
      <w:pPr>
        <w:rPr>
          <w:b/>
        </w:rPr>
      </w:pPr>
    </w:p>
    <w:sectPr w:rsidR="00EA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07E"/>
    <w:multiLevelType w:val="hybridMultilevel"/>
    <w:tmpl w:val="8C24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65E9"/>
    <w:multiLevelType w:val="hybridMultilevel"/>
    <w:tmpl w:val="F3D8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B6ADC"/>
    <w:multiLevelType w:val="hybridMultilevel"/>
    <w:tmpl w:val="9A5A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39"/>
    <w:rsid w:val="00096110"/>
    <w:rsid w:val="000F0435"/>
    <w:rsid w:val="000F67C5"/>
    <w:rsid w:val="00155BC5"/>
    <w:rsid w:val="001E57EA"/>
    <w:rsid w:val="00207D7A"/>
    <w:rsid w:val="0025293E"/>
    <w:rsid w:val="002906B2"/>
    <w:rsid w:val="002C165F"/>
    <w:rsid w:val="002C3439"/>
    <w:rsid w:val="002F24E3"/>
    <w:rsid w:val="003736C6"/>
    <w:rsid w:val="00477535"/>
    <w:rsid w:val="004C25EE"/>
    <w:rsid w:val="008E1C1F"/>
    <w:rsid w:val="00972FBA"/>
    <w:rsid w:val="009A0059"/>
    <w:rsid w:val="00AC2391"/>
    <w:rsid w:val="00AC77BF"/>
    <w:rsid w:val="00AE1BDC"/>
    <w:rsid w:val="00B104FC"/>
    <w:rsid w:val="00B47D75"/>
    <w:rsid w:val="00C738A9"/>
    <w:rsid w:val="00EA5467"/>
    <w:rsid w:val="00E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9B84"/>
  <w15:chartTrackingRefBased/>
  <w15:docId w15:val="{F04F7CF8-B4FA-4E5F-BB78-C33D05AC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4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1F"/>
    <w:pPr>
      <w:ind w:left="720"/>
      <w:contextualSpacing/>
    </w:pPr>
  </w:style>
  <w:style w:type="paragraph" w:customStyle="1" w:styleId="Tabletext">
    <w:name w:val="Table text"/>
    <w:basedOn w:val="Normal"/>
    <w:rsid w:val="00EA5467"/>
    <w:pPr>
      <w:spacing w:before="60" w:after="60" w:line="260" w:lineRule="exac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Heading3rdlevel">
    <w:name w:val="Heading (3rd level)"/>
    <w:basedOn w:val="Heading3"/>
    <w:link w:val="Heading3rdlevelChar"/>
    <w:rsid w:val="00EA5467"/>
    <w:pPr>
      <w:keepLines w:val="0"/>
      <w:spacing w:before="180" w:after="60" w:line="240" w:lineRule="exact"/>
    </w:pPr>
    <w:rPr>
      <w:rFonts w:ascii="Arial" w:eastAsia="Times New Roman" w:hAnsi="Arial" w:cs="Times New Roman"/>
      <w:b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EA5467"/>
    <w:rPr>
      <w:rFonts w:ascii="Arial" w:eastAsia="Times New Roman" w:hAnsi="Arial" w:cs="Times New Roman"/>
      <w:b/>
      <w:color w:val="000000"/>
      <w:kern w:val="24"/>
      <w:sz w:val="20"/>
      <w:szCs w:val="20"/>
    </w:rPr>
  </w:style>
  <w:style w:type="table" w:styleId="TableGrid">
    <w:name w:val="Table Grid"/>
    <w:basedOn w:val="TableNormal"/>
    <w:rsid w:val="00EA5467"/>
    <w:pPr>
      <w:spacing w:before="60" w:after="60" w:line="26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A54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Buckley</dc:creator>
  <cp:keywords/>
  <dc:description/>
  <cp:lastModifiedBy>Myra Thompson</cp:lastModifiedBy>
  <cp:revision>3</cp:revision>
  <dcterms:created xsi:type="dcterms:W3CDTF">2020-09-03T13:19:00Z</dcterms:created>
  <dcterms:modified xsi:type="dcterms:W3CDTF">2020-09-03T13:21:00Z</dcterms:modified>
</cp:coreProperties>
</file>